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Pr>
          <w:rFonts w:cstheme="minorHAnsi"/>
          <w:b/>
          <w:sz w:val="36"/>
          <w:szCs w:val="36"/>
        </w:rPr>
        <w:t xml:space="preserve">Jigsaw </w:t>
      </w:r>
      <w:r w:rsidR="0068230E" w:rsidRPr="004254B9">
        <w:rPr>
          <w:rFonts w:cstheme="minorHAnsi"/>
          <w:b/>
          <w:sz w:val="36"/>
          <w:szCs w:val="36"/>
        </w:rPr>
        <w:t xml:space="preserve">PSHE </w:t>
      </w:r>
      <w:r w:rsidR="007C1BCC">
        <w:rPr>
          <w:rFonts w:cstheme="minorHAnsi"/>
          <w:b/>
          <w:sz w:val="36"/>
          <w:szCs w:val="36"/>
        </w:rPr>
        <w:t xml:space="preserve">3-11 </w:t>
      </w:r>
      <w:r w:rsidR="0068230E" w:rsidRPr="004254B9">
        <w:rPr>
          <w:rFonts w:cstheme="minorHAnsi"/>
          <w:b/>
          <w:sz w:val="36"/>
          <w:szCs w:val="36"/>
        </w:rPr>
        <w:t>progression map</w:t>
      </w: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lastRenderedPageBreak/>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lastRenderedPageBreak/>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about their own behaviour and how their choices can result in 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Similar(ity),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behaviour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AAB0FA" w:rsidR="00867B77" w:rsidRPr="0069758A" w:rsidRDefault="009051AA" w:rsidP="009051AA">
            <w:pPr>
              <w:pStyle w:val="Pa3"/>
              <w:spacing w:after="80"/>
              <w:rPr>
                <w:rFonts w:asciiTheme="minorHAnsi" w:hAnsiTheme="minorHAnsi" w:cstheme="minorHAnsi"/>
                <w:color w:val="000000"/>
                <w:sz w:val="20"/>
                <w:szCs w:val="20"/>
              </w:rPr>
            </w:pPr>
            <w:r w:rsidRPr="009051AA">
              <w:rPr>
                <w:rStyle w:val="A1"/>
                <w:rFonts w:asciiTheme="minorHAnsi" w:hAnsiTheme="minorHAnsi" w:cstheme="minorHAnsi"/>
                <w:sz w:val="20"/>
                <w:szCs w:val="20"/>
              </w:rPr>
              <w:t>Male, Female, Biological sex, Stereotype, Individuality, Diverse, Different, Equality, Fairness, Identity, Gender Identity, Transgender, Non-binary, Courage, Fairness, Rights </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therin</w:t>
            </w:r>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behaviour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practise</w:t>
            </w:r>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Puzzle 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say what might change for them they 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9"/>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B4573" w14:textId="77777777" w:rsidR="00B25963" w:rsidRDefault="00B25963" w:rsidP="00B804EC">
      <w:pPr>
        <w:spacing w:after="0" w:line="240" w:lineRule="auto"/>
      </w:pPr>
      <w:r>
        <w:separator/>
      </w:r>
    </w:p>
  </w:endnote>
  <w:endnote w:type="continuationSeparator" w:id="0">
    <w:p w14:paraId="7DCB8C4A" w14:textId="77777777" w:rsidR="00B25963" w:rsidRDefault="00B25963"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20B0604020202020204"/>
    <w:charset w:val="00"/>
    <w:family w:val="swiss"/>
    <w:notTrueType/>
    <w:pitch w:val="default"/>
    <w:sig w:usb0="00000003" w:usb1="00000000" w:usb2="00000000" w:usb3="00000000" w:csb0="00000001" w:csb1="00000000"/>
  </w:font>
  <w:font w:name="NTUTE W+ Arial M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QVEYZ Q+ DIN">
    <w:altName w:val="DIN"/>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7E8A" w14:textId="71EB55D9" w:rsidR="008B0722" w:rsidRDefault="00597792" w:rsidP="008B0722">
    <w:pPr>
      <w:pStyle w:val="Footer"/>
      <w:jc w:val="center"/>
    </w:pPr>
    <w:r>
      <w:t xml:space="preserve">© </w:t>
    </w:r>
    <w:r w:rsidR="008B0722">
      <w:t>Copyright Jigsaw PSHE Ltd</w:t>
    </w:r>
    <w:r>
      <w:t xml:space="preserve"> – Updated </w:t>
    </w:r>
    <w:r w:rsidR="009051AA">
      <w:t>29</w:t>
    </w:r>
    <w:r>
      <w:t xml:space="preserve"> </w:t>
    </w:r>
    <w:r w:rsidR="009051AA">
      <w:t>September</w:t>
    </w:r>
    <w:r>
      <w:t xml:space="preserve"> 2022</w:t>
    </w:r>
  </w:p>
  <w:p w14:paraId="0D6D91DA" w14:textId="77777777" w:rsidR="00553BD9" w:rsidRDefault="005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35E0" w14:textId="77777777" w:rsidR="00B25963" w:rsidRDefault="00B25963" w:rsidP="00B804EC">
      <w:pPr>
        <w:spacing w:after="0" w:line="240" w:lineRule="auto"/>
      </w:pPr>
      <w:r>
        <w:separator/>
      </w:r>
    </w:p>
  </w:footnote>
  <w:footnote w:type="continuationSeparator" w:id="0">
    <w:p w14:paraId="57EB2B60" w14:textId="77777777" w:rsidR="00B25963" w:rsidRDefault="00B25963"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177026">
    <w:abstractNumId w:val="0"/>
  </w:num>
  <w:num w:numId="2" w16cid:durableId="936475663">
    <w:abstractNumId w:val="14"/>
  </w:num>
  <w:num w:numId="3" w16cid:durableId="853344266">
    <w:abstractNumId w:val="8"/>
  </w:num>
  <w:num w:numId="4" w16cid:durableId="1822505714">
    <w:abstractNumId w:val="22"/>
  </w:num>
  <w:num w:numId="5" w16cid:durableId="646663544">
    <w:abstractNumId w:val="1"/>
  </w:num>
  <w:num w:numId="6" w16cid:durableId="1893537099">
    <w:abstractNumId w:val="3"/>
  </w:num>
  <w:num w:numId="7" w16cid:durableId="1249655831">
    <w:abstractNumId w:val="26"/>
  </w:num>
  <w:num w:numId="8" w16cid:durableId="735249528">
    <w:abstractNumId w:val="19"/>
  </w:num>
  <w:num w:numId="9" w16cid:durableId="176041213">
    <w:abstractNumId w:val="5"/>
  </w:num>
  <w:num w:numId="10" w16cid:durableId="854459812">
    <w:abstractNumId w:val="20"/>
  </w:num>
  <w:num w:numId="11" w16cid:durableId="724451435">
    <w:abstractNumId w:val="7"/>
  </w:num>
  <w:num w:numId="12" w16cid:durableId="381831773">
    <w:abstractNumId w:val="2"/>
  </w:num>
  <w:num w:numId="13" w16cid:durableId="1505052873">
    <w:abstractNumId w:val="15"/>
  </w:num>
  <w:num w:numId="14" w16cid:durableId="731347470">
    <w:abstractNumId w:val="6"/>
  </w:num>
  <w:num w:numId="15" w16cid:durableId="427314268">
    <w:abstractNumId w:val="11"/>
  </w:num>
  <w:num w:numId="16" w16cid:durableId="928736584">
    <w:abstractNumId w:val="24"/>
  </w:num>
  <w:num w:numId="17" w16cid:durableId="2141803252">
    <w:abstractNumId w:val="10"/>
  </w:num>
  <w:num w:numId="18" w16cid:durableId="1916358934">
    <w:abstractNumId w:val="21"/>
  </w:num>
  <w:num w:numId="19" w16cid:durableId="1956399460">
    <w:abstractNumId w:val="25"/>
  </w:num>
  <w:num w:numId="20" w16cid:durableId="1286305149">
    <w:abstractNumId w:val="4"/>
  </w:num>
  <w:num w:numId="21" w16cid:durableId="1698506945">
    <w:abstractNumId w:val="12"/>
  </w:num>
  <w:num w:numId="22" w16cid:durableId="171457904">
    <w:abstractNumId w:val="13"/>
  </w:num>
  <w:num w:numId="23" w16cid:durableId="1147936085">
    <w:abstractNumId w:val="9"/>
  </w:num>
  <w:num w:numId="24" w16cid:durableId="1158378279">
    <w:abstractNumId w:val="27"/>
  </w:num>
  <w:num w:numId="25" w16cid:durableId="1566260936">
    <w:abstractNumId w:val="23"/>
  </w:num>
  <w:num w:numId="26" w16cid:durableId="1892645570">
    <w:abstractNumId w:val="18"/>
  </w:num>
  <w:num w:numId="27" w16cid:durableId="2067680337">
    <w:abstractNumId w:val="16"/>
  </w:num>
  <w:num w:numId="28" w16cid:durableId="115981020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051AA"/>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25963"/>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4665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16427</Words>
  <Characters>93637</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janine mcgadie</cp:lastModifiedBy>
  <cp:revision>2</cp:revision>
  <cp:lastPrinted>2021-05-17T10:22:00Z</cp:lastPrinted>
  <dcterms:created xsi:type="dcterms:W3CDTF">2023-05-27T09:55:00Z</dcterms:created>
  <dcterms:modified xsi:type="dcterms:W3CDTF">2023-05-27T09:55:00Z</dcterms:modified>
</cp:coreProperties>
</file>